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b/>
          <w:sz w:val="28"/>
        </w:rPr>
      </w:pPr>
      <w:r>
        <w:rPr>
          <w:rFonts w:hint="eastAsia" w:ascii="黑体" w:hAnsi="黑体" w:eastAsia="黑体"/>
          <w:b/>
          <w:sz w:val="28"/>
        </w:rPr>
        <w:t>申报奖项：2</w:t>
      </w:r>
      <w:r>
        <w:rPr>
          <w:rFonts w:ascii="黑体" w:hAnsi="黑体" w:eastAsia="黑体"/>
          <w:b/>
          <w:sz w:val="28"/>
        </w:rPr>
        <w:t>020</w:t>
      </w:r>
      <w:r>
        <w:rPr>
          <w:rFonts w:hint="eastAsia" w:ascii="黑体" w:hAnsi="黑体" w:eastAsia="黑体"/>
          <w:b/>
          <w:sz w:val="28"/>
        </w:rPr>
        <w:t>年上海市</w:t>
      </w:r>
      <w:r>
        <w:rPr>
          <w:rFonts w:ascii="黑体" w:hAnsi="黑体" w:eastAsia="黑体"/>
          <w:b/>
          <w:sz w:val="28"/>
        </w:rPr>
        <w:t>青年科技杰出贡献奖</w:t>
      </w:r>
    </w:p>
    <w:p>
      <w:pPr>
        <w:widowControl/>
        <w:rPr>
          <w:rFonts w:eastAsia="仿宋_GB2312"/>
          <w:sz w:val="24"/>
        </w:rPr>
      </w:pPr>
      <w:r>
        <w:rPr>
          <w:rFonts w:hint="eastAsia" w:eastAsia="仿宋_GB2312"/>
          <w:sz w:val="24"/>
        </w:rPr>
        <w:t>申报人：刘琴</w:t>
      </w:r>
    </w:p>
    <w:p>
      <w:pPr>
        <w:widowControl/>
        <w:rPr>
          <w:rFonts w:eastAsia="仿宋_GB2312"/>
          <w:sz w:val="24"/>
        </w:rPr>
      </w:pPr>
      <w:r>
        <w:rPr>
          <w:rFonts w:hint="eastAsia" w:eastAsia="仿宋_GB2312"/>
          <w:sz w:val="24"/>
        </w:rPr>
        <w:t>单位：华东理工大学信息科学与工程学院</w:t>
      </w:r>
    </w:p>
    <w:p>
      <w:pPr>
        <w:widowControl/>
        <w:rPr>
          <w:rFonts w:eastAsia="仿宋_GB2312"/>
          <w:sz w:val="24"/>
        </w:rPr>
      </w:pPr>
    </w:p>
    <w:p>
      <w:pPr>
        <w:snapToGrid w:val="0"/>
        <w:spacing w:before="120" w:line="360" w:lineRule="auto"/>
        <w:ind w:firstLine="480"/>
        <w:rPr>
          <w:rFonts w:eastAsia="仿宋_GB2312"/>
          <w:sz w:val="24"/>
        </w:rPr>
      </w:pPr>
      <w:r>
        <w:rPr>
          <w:rFonts w:hint="eastAsia" w:eastAsia="仿宋_GB2312"/>
          <w:sz w:val="24"/>
        </w:rPr>
        <w:t>刘琴，女，生物工程学院教授，博士生导师。国家优秀青年基金获得者，曾入选上海市青年科技启明星资助计划、教育部新世纪人才资助计划。作为项目负责人</w:t>
      </w:r>
      <w:r>
        <w:rPr>
          <w:rFonts w:hint="eastAsia" w:eastAsia="仿宋_GB2312"/>
          <w:sz w:val="24"/>
          <w:lang w:val="en-US" w:eastAsia="zh-CN"/>
        </w:rPr>
        <w:t>主持</w:t>
      </w:r>
      <w:r>
        <w:rPr>
          <w:rFonts w:hint="eastAsia" w:eastAsia="仿宋_GB2312"/>
          <w:sz w:val="24"/>
        </w:rPr>
        <w:t>国家重点研发计划项目、国家自然基金项目、国家8</w:t>
      </w:r>
      <w:r>
        <w:rPr>
          <w:rFonts w:eastAsia="仿宋_GB2312"/>
          <w:sz w:val="24"/>
        </w:rPr>
        <w:t>63</w:t>
      </w:r>
      <w:r>
        <w:rPr>
          <w:rFonts w:hint="eastAsia" w:eastAsia="仿宋_GB2312"/>
          <w:sz w:val="24"/>
          <w:lang w:val="en-US" w:eastAsia="zh-CN"/>
        </w:rPr>
        <w:t>项目</w:t>
      </w:r>
      <w:r>
        <w:rPr>
          <w:rFonts w:hint="eastAsia" w:eastAsia="仿宋_GB2312"/>
          <w:sz w:val="24"/>
        </w:rPr>
        <w:t>等。</w:t>
      </w:r>
    </w:p>
    <w:p>
      <w:pPr>
        <w:snapToGrid w:val="0"/>
        <w:spacing w:before="120" w:line="360" w:lineRule="auto"/>
        <w:ind w:firstLine="480"/>
        <w:rPr>
          <w:rFonts w:ascii="黑体" w:hAnsi="黑体" w:eastAsia="黑体"/>
          <w:b/>
          <w:sz w:val="24"/>
        </w:rPr>
      </w:pPr>
      <w:r>
        <w:rPr>
          <w:rFonts w:hint="eastAsia" w:ascii="黑体" w:hAnsi="黑体" w:eastAsia="黑体"/>
          <w:b/>
          <w:sz w:val="24"/>
        </w:rPr>
        <w:t>（一）科研工作业绩</w:t>
      </w:r>
    </w:p>
    <w:p>
      <w:pPr>
        <w:snapToGrid w:val="0"/>
        <w:spacing w:line="360" w:lineRule="auto"/>
        <w:ind w:firstLine="470" w:firstLineChars="196"/>
        <w:rPr>
          <w:rFonts w:eastAsia="仿宋_GB2312"/>
          <w:sz w:val="24"/>
        </w:rPr>
      </w:pPr>
      <w:r>
        <w:rPr>
          <w:rFonts w:hint="eastAsia" w:eastAsia="仿宋_GB2312"/>
          <w:sz w:val="24"/>
        </w:rPr>
        <w:t>候选人</w:t>
      </w:r>
      <w:r>
        <w:rPr>
          <w:rFonts w:eastAsia="仿宋_GB2312"/>
          <w:sz w:val="24"/>
        </w:rPr>
        <w:t>近年来聚焦危害我国大菱鲆养殖业的主要细菌性病原，开展了致病机制研究及疫苗创制工作。</w:t>
      </w:r>
      <w:r>
        <w:rPr>
          <w:rFonts w:eastAsia="仿宋_GB2312"/>
          <w:b/>
          <w:bCs/>
          <w:sz w:val="24"/>
        </w:rPr>
        <w:t>在基础研究方面</w:t>
      </w:r>
      <w:r>
        <w:rPr>
          <w:rFonts w:eastAsia="仿宋_GB2312"/>
          <w:sz w:val="24"/>
        </w:rPr>
        <w:t>，</w:t>
      </w:r>
      <w:r>
        <w:rPr>
          <w:rFonts w:hint="eastAsia" w:eastAsia="仿宋_GB2312"/>
          <w:sz w:val="24"/>
        </w:rPr>
        <w:t>聚焦危害我国鲆鲽鱼类的首要病原</w:t>
      </w:r>
      <w:r>
        <w:rPr>
          <w:rFonts w:eastAsia="仿宋_GB2312"/>
          <w:sz w:val="24"/>
        </w:rPr>
        <w:t>杀鱼爱德华氏菌</w:t>
      </w:r>
      <w:r>
        <w:rPr>
          <w:rFonts w:hint="eastAsia" w:eastAsia="仿宋_GB2312"/>
          <w:sz w:val="24"/>
        </w:rPr>
        <w:t>，揭示了杀鱼爱德华氏菌靶向宿主固有免疫信号、控制炎症反应以实现免疫逃逸的分子过程，为深入理解水产病原的感染机制打下了基础；聚焦炎症小体通路这一鱼类固有免疫系统的重要组成，揭示了炎症小体信号在鱼类固有免疫应答中的重要作用，为深入理解鱼类抗感染免疫机制打下了基础，</w:t>
      </w:r>
      <w:r>
        <w:rPr>
          <w:rFonts w:eastAsia="仿宋_GB2312"/>
          <w:sz w:val="24"/>
        </w:rPr>
        <w:t>在</w:t>
      </w:r>
      <w:r>
        <w:rPr>
          <w:rFonts w:hint="eastAsia" w:eastAsia="仿宋_GB2312"/>
          <w:sz w:val="24"/>
          <w:lang w:val="en-US" w:eastAsia="zh-CN"/>
        </w:rPr>
        <w:t>Immunity、</w:t>
      </w:r>
      <w:r>
        <w:rPr>
          <w:rFonts w:eastAsia="仿宋_GB2312"/>
          <w:sz w:val="24"/>
        </w:rPr>
        <w:t>Cell Host &amp; Microbe、Nature Communications、PLoS Pathogens等期刊发表代表性研究论文，上述基础研究成果为大菱鲆细菌疫苗的理性设计和实践应用奠定了基础。</w:t>
      </w:r>
      <w:r>
        <w:rPr>
          <w:rFonts w:hint="eastAsia" w:eastAsia="仿宋_GB2312"/>
          <w:sz w:val="24"/>
        </w:rPr>
        <w:t>近</w:t>
      </w:r>
      <w:r>
        <w:rPr>
          <w:rFonts w:eastAsia="仿宋_GB2312"/>
          <w:sz w:val="24"/>
        </w:rPr>
        <w:t>5年发表SCI收录论文</w:t>
      </w:r>
      <w:r>
        <w:rPr>
          <w:rFonts w:hint="eastAsia" w:eastAsia="仿宋_GB2312"/>
          <w:sz w:val="24"/>
        </w:rPr>
        <w:t>42</w:t>
      </w:r>
      <w:r>
        <w:rPr>
          <w:rFonts w:eastAsia="仿宋_GB2312"/>
          <w:sz w:val="24"/>
        </w:rPr>
        <w:t>篇，其中</w:t>
      </w:r>
      <w:r>
        <w:rPr>
          <w:rFonts w:hint="eastAsia" w:eastAsia="仿宋_GB2312"/>
          <w:sz w:val="24"/>
        </w:rPr>
        <w:t>通讯作者</w:t>
      </w:r>
      <w:r>
        <w:rPr>
          <w:rFonts w:eastAsia="仿宋_GB2312"/>
          <w:sz w:val="24"/>
        </w:rPr>
        <w:t>论文</w:t>
      </w:r>
      <w:r>
        <w:rPr>
          <w:rFonts w:hint="eastAsia" w:eastAsia="仿宋_GB2312"/>
          <w:sz w:val="24"/>
        </w:rPr>
        <w:t>20</w:t>
      </w:r>
      <w:r>
        <w:rPr>
          <w:rFonts w:eastAsia="仿宋_GB2312"/>
          <w:sz w:val="24"/>
        </w:rPr>
        <w:t>篇，</w:t>
      </w:r>
      <w:r>
        <w:rPr>
          <w:rFonts w:hint="eastAsia" w:eastAsia="仿宋_GB2312"/>
          <w:sz w:val="24"/>
        </w:rPr>
        <w:t>共同</w:t>
      </w:r>
      <w:r>
        <w:rPr>
          <w:rFonts w:eastAsia="仿宋_GB2312"/>
          <w:sz w:val="24"/>
        </w:rPr>
        <w:t>通讯作者论文</w:t>
      </w:r>
      <w:r>
        <w:rPr>
          <w:rFonts w:hint="eastAsia" w:eastAsia="仿宋_GB2312"/>
          <w:sz w:val="24"/>
        </w:rPr>
        <w:t>3</w:t>
      </w:r>
      <w:r>
        <w:rPr>
          <w:rFonts w:eastAsia="仿宋_GB2312"/>
          <w:sz w:val="24"/>
        </w:rPr>
        <w:t>篇。论文被</w:t>
      </w:r>
      <w:r>
        <w:rPr>
          <w:rFonts w:hint="eastAsia" w:eastAsia="仿宋_GB2312"/>
          <w:sz w:val="24"/>
        </w:rPr>
        <w:t>引用458</w:t>
      </w:r>
      <w:r>
        <w:rPr>
          <w:rFonts w:eastAsia="仿宋_GB2312"/>
          <w:sz w:val="24"/>
        </w:rPr>
        <w:t>次，单篇</w:t>
      </w:r>
      <w:r>
        <w:rPr>
          <w:rFonts w:hint="eastAsia" w:eastAsia="仿宋_GB2312"/>
          <w:sz w:val="24"/>
        </w:rPr>
        <w:t>最高引用142</w:t>
      </w:r>
      <w:r>
        <w:rPr>
          <w:rFonts w:eastAsia="仿宋_GB2312"/>
          <w:sz w:val="24"/>
        </w:rPr>
        <w:t>次。多次在国</w:t>
      </w:r>
      <w:r>
        <w:rPr>
          <w:rFonts w:hint="eastAsia" w:eastAsia="仿宋_GB2312"/>
          <w:sz w:val="24"/>
        </w:rPr>
        <w:t>内</w:t>
      </w:r>
      <w:r>
        <w:rPr>
          <w:rFonts w:eastAsia="仿宋_GB2312"/>
          <w:sz w:val="24"/>
        </w:rPr>
        <w:t>学术会议上</w:t>
      </w:r>
      <w:r>
        <w:rPr>
          <w:rFonts w:hint="eastAsia" w:eastAsia="仿宋_GB2312"/>
          <w:sz w:val="24"/>
        </w:rPr>
        <w:t>做</w:t>
      </w:r>
      <w:r>
        <w:rPr>
          <w:rFonts w:eastAsia="仿宋_GB2312"/>
          <w:sz w:val="24"/>
        </w:rPr>
        <w:t>大会报告</w:t>
      </w:r>
      <w:r>
        <w:rPr>
          <w:rFonts w:hint="eastAsia" w:eastAsia="仿宋_GB2312"/>
          <w:sz w:val="24"/>
        </w:rPr>
        <w:t>。</w:t>
      </w:r>
      <w:r>
        <w:rPr>
          <w:rFonts w:eastAsia="仿宋_GB2312"/>
          <w:b/>
          <w:bCs/>
          <w:sz w:val="24"/>
        </w:rPr>
        <w:t>在技术创新方面</w:t>
      </w:r>
      <w:r>
        <w:rPr>
          <w:rFonts w:eastAsia="仿宋_GB2312"/>
          <w:sz w:val="24"/>
        </w:rPr>
        <w:t>，开展了以病原感染机制为指导的水产疫苗设计与开发，</w:t>
      </w:r>
      <w:r>
        <w:rPr>
          <w:rFonts w:hint="eastAsia" w:eastAsia="仿宋_GB2312"/>
          <w:sz w:val="24"/>
        </w:rPr>
        <w:t>获中国授权专利12项、</w:t>
      </w:r>
      <w:r>
        <w:rPr>
          <w:rFonts w:eastAsia="仿宋_GB2312"/>
          <w:sz w:val="24"/>
        </w:rPr>
        <w:t>疫苗临床批件3项</w:t>
      </w:r>
      <w:r>
        <w:rPr>
          <w:rFonts w:hint="eastAsia" w:eastAsia="仿宋_GB2312"/>
          <w:sz w:val="24"/>
        </w:rPr>
        <w:t>。</w:t>
      </w:r>
      <w:r>
        <w:rPr>
          <w:rFonts w:eastAsia="仿宋_GB2312"/>
          <w:sz w:val="24"/>
        </w:rPr>
        <w:t>基于关键毒力靶标创制了爱德华氏菌病活疫苗及鳗弧菌基因工程减毒活疫苗，获得两项国家一类新兽药证书，（新兽药证字30号，2015；新兽药证字15号，2019）</w:t>
      </w:r>
      <w:r>
        <w:rPr>
          <w:rFonts w:hint="eastAsia" w:eastAsia="仿宋_GB2312"/>
          <w:sz w:val="24"/>
        </w:rPr>
        <w:t>，这是我国第一及第二个审批通过的海水养殖鱼类细菌活疫苗产品，形成的水产疫苗质量标准编入2020版《中国兽药典》，填补了相关领域技术空白</w:t>
      </w:r>
      <w:r>
        <w:rPr>
          <w:rFonts w:eastAsia="仿宋_GB2312"/>
          <w:sz w:val="24"/>
        </w:rPr>
        <w:t>。</w:t>
      </w:r>
      <w:r>
        <w:rPr>
          <w:rFonts w:hint="eastAsia" w:eastAsia="仿宋_GB2312"/>
          <w:sz w:val="24"/>
        </w:rPr>
        <w:t>疫苗示范应用后，降低爱德华氏菌病及弧菌病的发病率40-60%、减少抗生素用量50%以上，相关</w:t>
      </w:r>
      <w:r>
        <w:rPr>
          <w:rFonts w:eastAsia="仿宋_GB2312"/>
          <w:sz w:val="24"/>
        </w:rPr>
        <w:t>成果入选“2019年农业农村部十大新技术”</w:t>
      </w:r>
      <w:r>
        <w:rPr>
          <w:rFonts w:hint="eastAsia" w:eastAsia="仿宋_GB2312"/>
          <w:sz w:val="24"/>
        </w:rPr>
        <w:t>。</w:t>
      </w:r>
    </w:p>
    <w:p>
      <w:pPr>
        <w:snapToGrid w:val="0"/>
        <w:spacing w:line="360" w:lineRule="auto"/>
        <w:ind w:firstLine="472" w:firstLineChars="196"/>
        <w:rPr>
          <w:rFonts w:ascii="黑体" w:hAnsi="黑体" w:eastAsia="黑体"/>
          <w:b/>
          <w:sz w:val="24"/>
        </w:rPr>
      </w:pPr>
      <w:r>
        <w:rPr>
          <w:rFonts w:hint="eastAsia" w:ascii="黑体" w:hAnsi="黑体" w:eastAsia="黑体"/>
          <w:b/>
          <w:sz w:val="24"/>
        </w:rPr>
        <w:t>（二）学科建设与社会活动贡献</w:t>
      </w:r>
    </w:p>
    <w:p>
      <w:pPr>
        <w:snapToGrid w:val="0"/>
        <w:spacing w:line="360" w:lineRule="auto"/>
        <w:ind w:firstLine="470" w:firstLineChars="196"/>
        <w:rPr>
          <w:rFonts w:eastAsia="仿宋_GB2312"/>
          <w:sz w:val="24"/>
        </w:rPr>
      </w:pPr>
      <w:r>
        <w:rPr>
          <w:rFonts w:hint="eastAsia" w:eastAsia="仿宋_GB2312"/>
          <w:sz w:val="24"/>
        </w:rPr>
        <w:t>候选人目前</w:t>
      </w:r>
      <w:r>
        <w:rPr>
          <w:rFonts w:hint="eastAsia" w:eastAsia="仿宋_GB2312"/>
          <w:sz w:val="24"/>
          <w:lang w:val="en-US" w:eastAsia="zh-CN"/>
        </w:rPr>
        <w:t>担任</w:t>
      </w:r>
      <w:r>
        <w:rPr>
          <w:rFonts w:hint="eastAsia" w:eastAsia="仿宋_GB2312"/>
          <w:sz w:val="24"/>
        </w:rPr>
        <w:t>生物反应器国家重点实验室副主任</w:t>
      </w:r>
      <w:r>
        <w:rPr>
          <w:rFonts w:hint="eastAsia" w:eastAsia="仿宋_GB2312"/>
          <w:sz w:val="24"/>
          <w:lang w:eastAsia="zh-CN"/>
        </w:rPr>
        <w:t>，</w:t>
      </w:r>
      <w:r>
        <w:rPr>
          <w:rFonts w:hint="eastAsia" w:eastAsia="仿宋_GB2312"/>
          <w:sz w:val="24"/>
        </w:rPr>
        <w:t>是</w:t>
      </w:r>
      <w:r>
        <w:rPr>
          <w:rFonts w:hint="eastAsia" w:eastAsia="仿宋_GB2312"/>
          <w:sz w:val="24"/>
          <w:lang w:val="en-US" w:eastAsia="zh-CN"/>
        </w:rPr>
        <w:t>实验室“生物产品工程”</w:t>
      </w:r>
      <w:r>
        <w:rPr>
          <w:rFonts w:hint="eastAsia" w:eastAsia="仿宋_GB2312"/>
          <w:sz w:val="24"/>
        </w:rPr>
        <w:t>方向的学术带头人，贯彻实验室“道器合一，服务农医”的宗旨，负责生物工程技术服务于农业领域的基础研究、产品开发和示范应用工作，特别是</w:t>
      </w:r>
      <w:r>
        <w:rPr>
          <w:rFonts w:hint="eastAsia" w:eastAsia="仿宋_GB2312"/>
          <w:sz w:val="24"/>
          <w:lang w:val="en-US" w:eastAsia="zh-CN"/>
        </w:rPr>
        <w:t>水生</w:t>
      </w:r>
      <w:r>
        <w:rPr>
          <w:rFonts w:hint="eastAsia" w:eastAsia="仿宋_GB2312"/>
          <w:sz w:val="24"/>
        </w:rPr>
        <w:t>动物疫苗的研发、制造和评价，为国家重点实验室上次评估获得优秀作出了重要的贡献。候选人</w:t>
      </w:r>
      <w:r>
        <w:rPr>
          <w:rFonts w:hint="eastAsia" w:eastAsia="仿宋_GB2312"/>
          <w:sz w:val="24"/>
          <w:lang w:val="en-US" w:eastAsia="zh-CN"/>
        </w:rPr>
        <w:t>是全国首个</w:t>
      </w:r>
      <w:r>
        <w:rPr>
          <w:rFonts w:hint="eastAsia" w:eastAsia="仿宋_GB2312"/>
          <w:sz w:val="24"/>
        </w:rPr>
        <w:t>生物工程一级学科</w:t>
      </w:r>
      <w:r>
        <w:rPr>
          <w:rFonts w:hint="eastAsia" w:eastAsia="仿宋_GB2312"/>
          <w:sz w:val="24"/>
          <w:lang w:val="en-US" w:eastAsia="zh-CN"/>
        </w:rPr>
        <w:t>博士授予点</w:t>
      </w:r>
      <w:r>
        <w:rPr>
          <w:rFonts w:hint="eastAsia" w:eastAsia="仿宋_GB2312"/>
          <w:sz w:val="24"/>
        </w:rPr>
        <w:t>的</w:t>
      </w:r>
      <w:r>
        <w:rPr>
          <w:rFonts w:hint="eastAsia" w:eastAsia="仿宋_GB2312"/>
          <w:sz w:val="24"/>
          <w:lang w:val="en-US" w:eastAsia="zh-CN"/>
        </w:rPr>
        <w:t>青年</w:t>
      </w:r>
      <w:r>
        <w:rPr>
          <w:rFonts w:hint="eastAsia" w:eastAsia="仿宋_GB2312"/>
          <w:sz w:val="24"/>
        </w:rPr>
        <w:t>学术带头人，</w:t>
      </w:r>
      <w:r>
        <w:rPr>
          <w:rFonts w:hint="eastAsia" w:eastAsia="仿宋_GB2312"/>
          <w:sz w:val="24"/>
          <w:lang w:val="en-US" w:eastAsia="zh-CN"/>
        </w:rPr>
        <w:t>积极参与</w:t>
      </w:r>
      <w:r>
        <w:rPr>
          <w:rFonts w:hint="eastAsia" w:eastAsia="仿宋_GB2312"/>
          <w:sz w:val="24"/>
        </w:rPr>
        <w:t>该</w:t>
      </w:r>
      <w:r>
        <w:rPr>
          <w:rFonts w:hint="eastAsia" w:eastAsia="仿宋_GB2312"/>
          <w:sz w:val="24"/>
          <w:lang w:val="en-US" w:eastAsia="zh-CN"/>
        </w:rPr>
        <w:t>学科</w:t>
      </w:r>
      <w:r>
        <w:rPr>
          <w:rFonts w:hint="eastAsia" w:eastAsia="仿宋_GB2312"/>
          <w:sz w:val="24"/>
        </w:rPr>
        <w:t>方向的学术发展、队伍建设、学生培养、质量控制等工作</w:t>
      </w:r>
      <w:r>
        <w:rPr>
          <w:rFonts w:hint="eastAsia" w:eastAsia="仿宋_GB2312"/>
          <w:sz w:val="24"/>
          <w:lang w:eastAsia="zh-CN"/>
        </w:rPr>
        <w:t>，</w:t>
      </w:r>
      <w:r>
        <w:rPr>
          <w:rFonts w:hint="eastAsia" w:eastAsia="仿宋_GB2312"/>
          <w:sz w:val="24"/>
        </w:rPr>
        <w:t>为全</w:t>
      </w:r>
      <w:r>
        <w:rPr>
          <w:rFonts w:hint="eastAsia" w:eastAsia="仿宋_GB2312"/>
          <w:sz w:val="24"/>
        </w:rPr>
        <w:t>国其他</w:t>
      </w:r>
      <w:r>
        <w:rPr>
          <w:rFonts w:hint="eastAsia" w:eastAsia="仿宋_GB2312"/>
          <w:sz w:val="24"/>
          <w:lang w:val="en-US" w:eastAsia="zh-CN"/>
        </w:rPr>
        <w:t>高校生物工程一级学科</w:t>
      </w:r>
      <w:r>
        <w:rPr>
          <w:rFonts w:hint="eastAsia" w:eastAsia="仿宋_GB2312"/>
          <w:sz w:val="24"/>
        </w:rPr>
        <w:t>博士点建设提供了丰富经验。候选人</w:t>
      </w:r>
      <w:r>
        <w:rPr>
          <w:rFonts w:hint="eastAsia" w:eastAsia="仿宋_GB2312"/>
          <w:sz w:val="24"/>
          <w:lang w:val="en-US" w:eastAsia="zh-CN"/>
        </w:rPr>
        <w:t>2019年入选</w:t>
      </w:r>
      <w:r>
        <w:rPr>
          <w:rFonts w:hint="eastAsia" w:ascii="Times New Roman" w:hAnsi="Times New Roman" w:eastAsia="仿宋_GB2312"/>
          <w:b w:val="0"/>
          <w:sz w:val="24"/>
          <w:szCs w:val="24"/>
        </w:rPr>
        <w:t>科学技术部</w:t>
      </w:r>
      <w:r>
        <w:rPr>
          <w:rFonts w:hint="eastAsia" w:eastAsia="仿宋_GB2312"/>
          <w:b w:val="0"/>
          <w:sz w:val="24"/>
          <w:szCs w:val="24"/>
          <w:lang w:eastAsia="zh-CN"/>
        </w:rPr>
        <w:t>“</w:t>
      </w:r>
      <w:r>
        <w:rPr>
          <w:rFonts w:hint="eastAsia" w:ascii="Times New Roman" w:hAnsi="Times New Roman" w:eastAsia="仿宋_GB2312"/>
          <w:b w:val="0"/>
          <w:sz w:val="24"/>
          <w:szCs w:val="24"/>
        </w:rPr>
        <w:t>海洋领域面向2035年的中长期科技规划战略研究和第六次国家技术预测</w:t>
      </w:r>
      <w:r>
        <w:rPr>
          <w:rFonts w:hint="eastAsia" w:eastAsia="仿宋_GB2312"/>
          <w:b w:val="0"/>
          <w:sz w:val="24"/>
          <w:szCs w:val="24"/>
          <w:lang w:val="en-US" w:eastAsia="zh-CN"/>
        </w:rPr>
        <w:t>工作</w:t>
      </w:r>
      <w:r>
        <w:rPr>
          <w:rFonts w:hint="eastAsia" w:eastAsia="仿宋_GB2312"/>
          <w:b w:val="0"/>
          <w:sz w:val="24"/>
          <w:szCs w:val="24"/>
          <w:lang w:eastAsia="zh-CN"/>
        </w:rPr>
        <w:t>”</w:t>
      </w:r>
      <w:r>
        <w:rPr>
          <w:rFonts w:hint="eastAsia" w:eastAsia="仿宋_GB2312"/>
          <w:b w:val="0"/>
          <w:sz w:val="24"/>
          <w:szCs w:val="24"/>
          <w:lang w:val="en-US" w:eastAsia="zh-CN"/>
        </w:rPr>
        <w:t>专家组，负责“海洋生物资源开发”方向的技术预测和战略规划工作，主持全国性</w:t>
      </w:r>
      <w:r>
        <w:rPr>
          <w:rFonts w:hint="eastAsia" w:eastAsia="仿宋_GB2312"/>
          <w:sz w:val="24"/>
        </w:rPr>
        <w:t>调研及战略规划研讨1</w:t>
      </w:r>
      <w:r>
        <w:rPr>
          <w:rFonts w:eastAsia="仿宋_GB2312"/>
          <w:sz w:val="24"/>
        </w:rPr>
        <w:t>0</w:t>
      </w:r>
      <w:r>
        <w:rPr>
          <w:rFonts w:hint="eastAsia" w:eastAsia="仿宋_GB2312"/>
          <w:sz w:val="24"/>
        </w:rPr>
        <w:t>多</w:t>
      </w:r>
      <w:r>
        <w:rPr>
          <w:rFonts w:hint="eastAsia" w:eastAsia="仿宋_GB2312"/>
          <w:sz w:val="24"/>
          <w:lang w:val="en-US" w:eastAsia="zh-CN"/>
        </w:rPr>
        <w:t>次</w:t>
      </w:r>
      <w:r>
        <w:rPr>
          <w:rFonts w:hint="eastAsia" w:eastAsia="仿宋_GB2312"/>
          <w:sz w:val="24"/>
        </w:rPr>
        <w:t>，把握国际前沿动态，服务国家建设发展的总体需求，为学科发展、行业和企业的科技进步做出了贡献。</w:t>
      </w:r>
    </w:p>
    <w:p>
      <w:pPr>
        <w:rPr>
          <w:color w:val="FF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roma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94"/>
    <w:rsid w:val="00195284"/>
    <w:rsid w:val="00347300"/>
    <w:rsid w:val="003526A8"/>
    <w:rsid w:val="003F2ED7"/>
    <w:rsid w:val="004323F6"/>
    <w:rsid w:val="00724EDF"/>
    <w:rsid w:val="007C6B5A"/>
    <w:rsid w:val="00803DCC"/>
    <w:rsid w:val="00837B1C"/>
    <w:rsid w:val="009C152D"/>
    <w:rsid w:val="00A120D9"/>
    <w:rsid w:val="00AC5A9F"/>
    <w:rsid w:val="00B01F8F"/>
    <w:rsid w:val="00B2356E"/>
    <w:rsid w:val="00B7448E"/>
    <w:rsid w:val="00B84E72"/>
    <w:rsid w:val="00BB3494"/>
    <w:rsid w:val="00CF2646"/>
    <w:rsid w:val="00D21A84"/>
    <w:rsid w:val="00DD47E0"/>
    <w:rsid w:val="00E76269"/>
    <w:rsid w:val="00EA4EF9"/>
    <w:rsid w:val="00EC7EC8"/>
    <w:rsid w:val="00F267F2"/>
    <w:rsid w:val="00F47755"/>
    <w:rsid w:val="5DAD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0"/>
    <w:semiHidden/>
    <w:unhideWhenUsed/>
    <w:qFormat/>
    <w:uiPriority w:val="99"/>
    <w:rPr>
      <w:sz w:val="18"/>
      <w:szCs w:val="18"/>
    </w:rPr>
  </w:style>
  <w:style w:type="paragraph" w:styleId="4">
    <w:name w:val="annotation subject"/>
    <w:basedOn w:val="2"/>
    <w:next w:val="2"/>
    <w:link w:val="12"/>
    <w:semiHidden/>
    <w:unhideWhenUsed/>
    <w:uiPriority w:val="99"/>
    <w:rPr>
      <w:b/>
      <w:bCs/>
    </w:rPr>
  </w:style>
  <w:style w:type="character" w:styleId="7">
    <w:name w:val="annotation reference"/>
    <w:basedOn w:val="6"/>
    <w:semiHidden/>
    <w:unhideWhenUsed/>
    <w:uiPriority w:val="99"/>
    <w:rPr>
      <w:sz w:val="21"/>
      <w:szCs w:val="21"/>
    </w:rPr>
  </w:style>
  <w:style w:type="character" w:customStyle="1" w:styleId="8">
    <w:name w:val="fontstyle01"/>
    <w:basedOn w:val="6"/>
    <w:uiPriority w:val="0"/>
    <w:rPr>
      <w:rFonts w:hint="default" w:ascii="楷体" w:hAnsi="楷体"/>
      <w:color w:val="000000"/>
      <w:sz w:val="28"/>
      <w:szCs w:val="28"/>
    </w:rPr>
  </w:style>
  <w:style w:type="character" w:customStyle="1" w:styleId="9">
    <w:name w:val="fontstyle21"/>
    <w:basedOn w:val="6"/>
    <w:qFormat/>
    <w:uiPriority w:val="0"/>
    <w:rPr>
      <w:rFonts w:hint="default" w:ascii="TimesNewRomanPSMT" w:hAnsi="TimesNewRomanPSMT"/>
      <w:color w:val="000000"/>
      <w:sz w:val="28"/>
      <w:szCs w:val="28"/>
    </w:rPr>
  </w:style>
  <w:style w:type="character" w:customStyle="1" w:styleId="10">
    <w:name w:val="批注框文本 Char"/>
    <w:basedOn w:val="6"/>
    <w:link w:val="3"/>
    <w:semiHidden/>
    <w:uiPriority w:val="99"/>
    <w:rPr>
      <w:rFonts w:ascii="Times New Roman" w:hAnsi="Times New Roman" w:eastAsia="宋体" w:cs="Times New Roman"/>
      <w:sz w:val="18"/>
      <w:szCs w:val="18"/>
    </w:rPr>
  </w:style>
  <w:style w:type="character" w:customStyle="1" w:styleId="11">
    <w:name w:val="批注文字 Char"/>
    <w:basedOn w:val="6"/>
    <w:link w:val="2"/>
    <w:semiHidden/>
    <w:uiPriority w:val="99"/>
    <w:rPr>
      <w:rFonts w:ascii="Times New Roman" w:hAnsi="Times New Roman" w:eastAsia="宋体" w:cs="Times New Roman"/>
      <w:szCs w:val="24"/>
    </w:rPr>
  </w:style>
  <w:style w:type="character" w:customStyle="1" w:styleId="12">
    <w:name w:val="批注主题 Char"/>
    <w:basedOn w:val="11"/>
    <w:link w:val="4"/>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249</Words>
  <Characters>1424</Characters>
  <Lines>11</Lines>
  <Paragraphs>3</Paragraphs>
  <TotalTime>5</TotalTime>
  <ScaleCrop>false</ScaleCrop>
  <LinksUpToDate>false</LinksUpToDate>
  <CharactersWithSpaces>1670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2020-05-28T03:25:00Z</dcterms:created>
  <dc:creator>liu xiaohi</dc:creator>
  <cp:lastModifiedBy>刘琴</cp:lastModifiedBy>
  <dcterms:modified xsi:type="dcterms:W3CDTF">2020-05-28T03:59:28Z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